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left"/>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SOUTH CAROLINA</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if permitted by the customer’s applicable laws (S.C. Code Ann. § 61-6-100(1); 1150(2)).  </w:t>
      </w:r>
    </w:p>
    <w:p w:rsidR="00000000" w:rsidDel="00000000" w:rsidP="00000000" w:rsidRDefault="00000000" w:rsidRPr="00000000" w14:paraId="0000019A">
      <w:pPr>
        <w:widowControl w:val="0"/>
        <w:spacing w:before="225" w:line="223" w:lineRule="auto"/>
        <w:ind w:left="16" w:right="33"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out-of-state registered producers must ship alcoholic liquors into licensed warehouses (S.C. Code Ann. § 61-6-2820; § 61-6-2900). </w:t>
      </w:r>
    </w:p>
    <w:p w:rsidR="00000000" w:rsidDel="00000000" w:rsidP="00000000" w:rsidRDefault="00000000" w:rsidRPr="00000000" w14:paraId="0000019B">
      <w:pPr>
        <w:widowControl w:val="0"/>
        <w:spacing w:before="239" w:line="228" w:lineRule="auto"/>
        <w:ind w:left="14" w:right="621" w:firstLine="1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manufacturers must sell and deliver to wholesalers or sell to consumers at their licensed premises (S.C. Code Ann. § 61-6-100; § 61-6-1150).  </w:t>
      </w:r>
    </w:p>
    <w:p w:rsidR="00000000" w:rsidDel="00000000" w:rsidP="00000000" w:rsidRDefault="00000000" w:rsidRPr="00000000" w14:paraId="0000019C">
      <w:pPr>
        <w:widowControl w:val="0"/>
        <w:spacing w:before="235" w:line="228" w:lineRule="auto"/>
        <w:ind w:left="16" w:right="491" w:firstLine="6.000000000000001"/>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Relief measures did not include distilleries. Curbside delivery and pickup of alcoholic liquors remain prohibited. </w:t>
      </w:r>
    </w:p>
    <w:p w:rsidR="00000000" w:rsidDel="00000000" w:rsidP="00000000" w:rsidRDefault="00000000" w:rsidRPr="00000000" w14:paraId="0000019D">
      <w:pPr>
        <w:widowControl w:val="0"/>
        <w:spacing w:before="4" w:line="240" w:lineRule="auto"/>
        <w:ind w:left="19" w:firstLine="0"/>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https://dor.sc.gov/tax/abl</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9E">
      <w:pPr>
        <w:widowControl w:val="0"/>
        <w:spacing w:before="225" w:line="240" w:lineRule="auto"/>
        <w:ind w:left="23"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F">
      <w:pPr>
        <w:widowControl w:val="0"/>
        <w:spacing w:before="225" w:line="240" w:lineRule="auto"/>
        <w:ind w:left="25" w:firstLine="0"/>
        <w:rPr>
          <w:rFonts w:ascii="Calibri" w:cs="Calibri" w:eastAsia="Calibri" w:hAnsi="Calibri"/>
          <w:b w:val="1"/>
        </w:rPr>
      </w:pPr>
      <w:r w:rsidDel="00000000" w:rsidR="00000000" w:rsidRPr="00000000">
        <w:rPr>
          <w:rFonts w:ascii="Calibri" w:cs="Calibri" w:eastAsia="Calibri" w:hAnsi="Calibri"/>
          <w:b w:val="1"/>
          <w:rtl w:val="0"/>
        </w:rPr>
        <w:t xml:space="preserve">South Carolina Code Annotated </w:t>
      </w:r>
    </w:p>
    <w:p w:rsidR="00000000" w:rsidDel="00000000" w:rsidP="00000000" w:rsidRDefault="00000000" w:rsidRPr="00000000" w14:paraId="000001A0">
      <w:pPr>
        <w:widowControl w:val="0"/>
        <w:spacing w:before="220" w:line="240" w:lineRule="auto"/>
        <w:ind w:left="25" w:firstLine="0"/>
        <w:rPr>
          <w:rFonts w:ascii="Calibri" w:cs="Calibri" w:eastAsia="Calibri" w:hAnsi="Calibri"/>
          <w:b w:val="1"/>
        </w:rPr>
      </w:pPr>
      <w:r w:rsidDel="00000000" w:rsidR="00000000" w:rsidRPr="00000000">
        <w:rPr>
          <w:rFonts w:ascii="Calibri" w:cs="Calibri" w:eastAsia="Calibri" w:hAnsi="Calibri"/>
          <w:b w:val="1"/>
          <w:rtl w:val="0"/>
        </w:rPr>
        <w:t xml:space="preserve">SECTION 61-6-100. Authority to issue, suspend, and revoke licenses. </w:t>
      </w:r>
    </w:p>
    <w:p w:rsidR="00000000" w:rsidDel="00000000" w:rsidP="00000000" w:rsidRDefault="00000000" w:rsidRPr="00000000" w14:paraId="000001A1">
      <w:pPr>
        <w:widowControl w:val="0"/>
        <w:spacing w:line="228" w:lineRule="auto"/>
        <w:ind w:left="21" w:right="5" w:firstLine="2.0000000000000018"/>
        <w:jc w:val="both"/>
        <w:rPr>
          <w:rFonts w:ascii="Calibri" w:cs="Calibri" w:eastAsia="Calibri" w:hAnsi="Calibri"/>
        </w:rPr>
      </w:pPr>
      <w:r w:rsidDel="00000000" w:rsidR="00000000" w:rsidRPr="00000000">
        <w:rPr>
          <w:rFonts w:ascii="Calibri" w:cs="Calibri" w:eastAsia="Calibri" w:hAnsi="Calibri"/>
          <w:rtl w:val="0"/>
        </w:rPr>
        <w:t xml:space="preserve">(1) manufacturers' licenses which authorize the licensees to manufacture alcoholic liquors and to sell and deliver or ship them, in accordance with regulations, in bottles or in similar closed containers to a person in this State who has a wholesaler's license issued under this article, and in barrels, bottles, or other closed containers to persons outside this State. However, no deliveries or shipments may be made into another state whose laws prohibit the consignee from receiving or selling alcoholic liquors. </w:t>
      </w:r>
    </w:p>
    <w:p w:rsidR="00000000" w:rsidDel="00000000" w:rsidP="00000000" w:rsidRDefault="00000000" w:rsidRPr="00000000" w14:paraId="000001A2">
      <w:pPr>
        <w:widowControl w:val="0"/>
        <w:spacing w:before="235" w:line="240" w:lineRule="auto"/>
        <w:ind w:left="25" w:firstLine="0"/>
        <w:jc w:val="both"/>
        <w:rPr>
          <w:rFonts w:ascii="Calibri" w:cs="Calibri" w:eastAsia="Calibri" w:hAnsi="Calibri"/>
        </w:rPr>
      </w:pPr>
      <w:r w:rsidDel="00000000" w:rsidR="00000000" w:rsidRPr="00000000">
        <w:rPr>
          <w:rFonts w:ascii="Calibri" w:cs="Calibri" w:eastAsia="Calibri" w:hAnsi="Calibri"/>
          <w:b w:val="1"/>
          <w:rtl w:val="0"/>
        </w:rPr>
        <w:t xml:space="preserve">SECTION 61-6-1150. Tastings and retail sales; additional limitations and requirements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1A3">
      <w:pPr>
        <w:widowControl w:val="0"/>
        <w:spacing w:line="227" w:lineRule="auto"/>
        <w:ind w:left="15" w:right="3" w:firstLine="1.0000000000000009"/>
        <w:jc w:val="both"/>
        <w:rPr>
          <w:rFonts w:ascii="Calibri" w:cs="Calibri" w:eastAsia="Calibri" w:hAnsi="Calibri"/>
        </w:rPr>
      </w:pPr>
      <w:r w:rsidDel="00000000" w:rsidR="00000000" w:rsidRPr="00000000">
        <w:rPr>
          <w:rFonts w:ascii="Calibri" w:cs="Calibri" w:eastAsia="Calibri" w:hAnsi="Calibri"/>
          <w:rtl w:val="0"/>
        </w:rPr>
        <w:t xml:space="preserve">Authorization by this section of sales and tastings at licensed premises of a micro-distillery or manufacturer is expressly intended for the promotion of education regarding production of alcoholic liquors in the State and not to create competition between producers and retailers. A holder of a valid micro-distillery or manufacturer license issued by the State may: </w:t>
      </w:r>
    </w:p>
    <w:p w:rsidR="00000000" w:rsidDel="00000000" w:rsidP="00000000" w:rsidRDefault="00000000" w:rsidRPr="00000000" w14:paraId="000001A4">
      <w:pPr>
        <w:widowControl w:val="0"/>
        <w:spacing w:line="227" w:lineRule="auto"/>
        <w:ind w:left="15" w:right="3" w:firstLine="1.0000000000000009"/>
        <w:jc w:val="both"/>
        <w:rPr>
          <w:rFonts w:ascii="Calibri" w:cs="Calibri" w:eastAsia="Calibri" w:hAnsi="Calibri"/>
        </w:rPr>
      </w:pPr>
      <w:r w:rsidDel="00000000" w:rsidR="00000000" w:rsidRPr="00000000">
        <w:rPr>
          <w:rFonts w:ascii="Calibri" w:cs="Calibri" w:eastAsia="Calibri" w:hAnsi="Calibri"/>
          <w:rtl w:val="0"/>
        </w:rPr>
        <w:t xml:space="preserve">(1) sell in any quantities the alcoholic liquors produced at the licensed premises to a wholesaler licensed by the State;</w:t>
      </w:r>
    </w:p>
    <w:p w:rsidR="00000000" w:rsidDel="00000000" w:rsidP="00000000" w:rsidRDefault="00000000" w:rsidRPr="00000000" w14:paraId="000001A5">
      <w:pPr>
        <w:widowControl w:val="0"/>
        <w:spacing w:line="227" w:lineRule="auto"/>
        <w:ind w:left="15" w:right="3" w:firstLine="1.0000000000000009"/>
        <w:jc w:val="both"/>
        <w:rPr>
          <w:rFonts w:ascii="Calibri" w:cs="Calibri" w:eastAsia="Calibri" w:hAnsi="Calibri"/>
        </w:rPr>
      </w:pPr>
      <w:r w:rsidDel="00000000" w:rsidR="00000000" w:rsidRPr="00000000">
        <w:rPr>
          <w:rFonts w:ascii="Calibri" w:cs="Calibri" w:eastAsia="Calibri" w:hAnsi="Calibri"/>
          <w:rtl w:val="0"/>
        </w:rPr>
        <w:t xml:space="preserve">(2) transport in any quantities the alcoholic liquors produced at the licensed premises out of state for sale outside of the State; </w:t>
      </w:r>
    </w:p>
    <w:p w:rsidR="00000000" w:rsidDel="00000000" w:rsidP="00000000" w:rsidRDefault="00000000" w:rsidRPr="00000000" w14:paraId="000001A6">
      <w:pPr>
        <w:widowControl w:val="0"/>
        <w:spacing w:line="227" w:lineRule="auto"/>
        <w:ind w:left="15" w:right="3" w:firstLine="1.0000000000000009"/>
        <w:jc w:val="both"/>
        <w:rPr>
          <w:rFonts w:ascii="Calibri" w:cs="Calibri" w:eastAsia="Calibri" w:hAnsi="Calibri"/>
        </w:rPr>
      </w:pPr>
      <w:r w:rsidDel="00000000" w:rsidR="00000000" w:rsidRPr="00000000">
        <w:rPr>
          <w:rFonts w:ascii="Calibri" w:cs="Calibri" w:eastAsia="Calibri" w:hAnsi="Calibri"/>
          <w:rtl w:val="0"/>
        </w:rPr>
        <w:t xml:space="preserve">(3) sell at retail at the licensed premises the alcoholic liquors produced at the licensed premises, but only if the labels for the bottles are marked "not for resale"; </w:t>
      </w:r>
    </w:p>
    <w:p w:rsidR="00000000" w:rsidDel="00000000" w:rsidP="00000000" w:rsidRDefault="00000000" w:rsidRPr="00000000" w14:paraId="000001A7">
      <w:pPr>
        <w:widowControl w:val="0"/>
        <w:spacing w:before="5" w:line="228" w:lineRule="auto"/>
        <w:ind w:left="21" w:right="5" w:firstLine="1.0000000000000009"/>
        <w:jc w:val="both"/>
        <w:rPr>
          <w:rFonts w:ascii="Calibri" w:cs="Calibri" w:eastAsia="Calibri" w:hAnsi="Calibri"/>
        </w:rPr>
      </w:pPr>
      <w:r w:rsidDel="00000000" w:rsidR="00000000" w:rsidRPr="00000000">
        <w:rPr>
          <w:rFonts w:ascii="Calibri" w:cs="Calibri" w:eastAsia="Calibri" w:hAnsi="Calibri"/>
          <w:rtl w:val="0"/>
        </w:rPr>
        <w:t xml:space="preserve">(4) sell at retail no more than the equivalent of three 750-milliliter bottles of alcoholic liquors to a consumer in one business day; </w:t>
      </w:r>
    </w:p>
    <w:p w:rsidR="00000000" w:rsidDel="00000000" w:rsidP="00000000" w:rsidRDefault="00000000" w:rsidRPr="00000000" w14:paraId="000001A8">
      <w:pPr>
        <w:widowControl w:val="0"/>
        <w:spacing w:before="4" w:line="228" w:lineRule="auto"/>
        <w:ind w:left="22" w:right="3" w:firstLine="1.0000000000000009"/>
        <w:jc w:val="both"/>
        <w:rPr>
          <w:rFonts w:ascii="Calibri" w:cs="Calibri" w:eastAsia="Calibri" w:hAnsi="Calibri"/>
        </w:rPr>
      </w:pPr>
      <w:r w:rsidDel="00000000" w:rsidR="00000000" w:rsidRPr="00000000">
        <w:rPr>
          <w:rFonts w:ascii="Calibri" w:cs="Calibri" w:eastAsia="Calibri" w:hAnsi="Calibri"/>
          <w:rtl w:val="0"/>
        </w:rPr>
        <w:t xml:space="preserve">(5) not allow consumption on the licensed premises of alcoholic liquors sold by the bottle at the licensed premises; </w:t>
      </w:r>
    </w:p>
    <w:p w:rsidR="00000000" w:rsidDel="00000000" w:rsidP="00000000" w:rsidRDefault="00000000" w:rsidRPr="00000000" w14:paraId="000001A9">
      <w:pPr>
        <w:widowControl w:val="0"/>
        <w:spacing w:before="4" w:line="228" w:lineRule="auto"/>
        <w:ind w:left="22" w:right="3" w:firstLine="1.0000000000000009"/>
        <w:jc w:val="both"/>
        <w:rPr>
          <w:rFonts w:ascii="Calibri" w:cs="Calibri" w:eastAsia="Calibri" w:hAnsi="Calibri"/>
        </w:rPr>
      </w:pPr>
      <w:r w:rsidDel="00000000" w:rsidR="00000000" w:rsidRPr="00000000">
        <w:rPr>
          <w:rFonts w:ascii="Calibri" w:cs="Calibri" w:eastAsia="Calibri" w:hAnsi="Calibri"/>
          <w:rtl w:val="0"/>
        </w:rPr>
        <w:t xml:space="preserve">(6) maintain pricing of the alcoholic liquors sold at the licensed premises at a price approximating retail prices generally charged for identical alcoholic liquors in the county where the on-site premises is located; </w:t>
      </w:r>
    </w:p>
    <w:p w:rsidR="00000000" w:rsidDel="00000000" w:rsidP="00000000" w:rsidRDefault="00000000" w:rsidRPr="00000000" w14:paraId="000001AA">
      <w:pPr>
        <w:widowControl w:val="0"/>
        <w:spacing w:before="4" w:line="226" w:lineRule="auto"/>
        <w:ind w:left="22" w:right="3" w:firstLine="1.0000000000000009"/>
        <w:jc w:val="both"/>
        <w:rPr>
          <w:rFonts w:ascii="Calibri" w:cs="Calibri" w:eastAsia="Calibri" w:hAnsi="Calibri"/>
        </w:rPr>
      </w:pPr>
      <w:r w:rsidDel="00000000" w:rsidR="00000000" w:rsidRPr="00000000">
        <w:rPr>
          <w:rFonts w:ascii="Calibri" w:cs="Calibri" w:eastAsia="Calibri" w:hAnsi="Calibri"/>
          <w:rtl w:val="0"/>
        </w:rPr>
        <w:t xml:space="preserve">(7) in addition to the sale of alcoholic liquors as authorized by this section, sell items promoting the brand or brands of alcoholic liquors produced at that location in a room on the licensed premises separate from the locations of the tastings; </w:t>
      </w:r>
    </w:p>
    <w:p w:rsidR="00000000" w:rsidDel="00000000" w:rsidP="00000000" w:rsidRDefault="00000000" w:rsidRPr="00000000" w14:paraId="000001AB">
      <w:pPr>
        <w:widowControl w:val="0"/>
        <w:spacing w:before="4" w:line="226" w:lineRule="auto"/>
        <w:ind w:left="22" w:right="3" w:firstLine="1.0000000000000009"/>
        <w:jc w:val="both"/>
        <w:rPr>
          <w:rFonts w:ascii="Calibri" w:cs="Calibri" w:eastAsia="Calibri" w:hAnsi="Calibri"/>
        </w:rPr>
      </w:pPr>
      <w:r w:rsidDel="00000000" w:rsidR="00000000" w:rsidRPr="00000000">
        <w:rPr>
          <w:rFonts w:ascii="Calibri" w:cs="Calibri" w:eastAsia="Calibri" w:hAnsi="Calibri"/>
          <w:rtl w:val="0"/>
        </w:rPr>
        <w:t xml:space="preserve">(8) not sell or store goods, wares, or merchandise in or from the room in which alcoholic liquors are sold or tasted; </w:t>
      </w:r>
    </w:p>
    <w:p w:rsidR="00000000" w:rsidDel="00000000" w:rsidP="00000000" w:rsidRDefault="00000000" w:rsidRPr="00000000" w14:paraId="000001AC">
      <w:pPr>
        <w:widowControl w:val="0"/>
        <w:spacing w:before="4" w:line="226" w:lineRule="auto"/>
        <w:ind w:left="22" w:right="3" w:firstLine="1.0000000000000009"/>
        <w:jc w:val="both"/>
        <w:rPr>
          <w:rFonts w:ascii="Calibri" w:cs="Calibri" w:eastAsia="Calibri" w:hAnsi="Calibri"/>
        </w:rPr>
      </w:pPr>
      <w:r w:rsidDel="00000000" w:rsidR="00000000" w:rsidRPr="00000000">
        <w:rPr>
          <w:rFonts w:ascii="Calibri" w:cs="Calibri" w:eastAsia="Calibri" w:hAnsi="Calibri"/>
          <w:rtl w:val="0"/>
        </w:rPr>
        <w:t xml:space="preserve">(9) store mixers used, but not sold, in conjunction with tastings; and </w:t>
      </w:r>
    </w:p>
    <w:p w:rsidR="00000000" w:rsidDel="00000000" w:rsidP="00000000" w:rsidRDefault="00000000" w:rsidRPr="00000000" w14:paraId="000001AD">
      <w:pPr>
        <w:widowControl w:val="0"/>
        <w:spacing w:before="6"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(10) not allow minors into the portion of the facility where tastings are occurring. </w:t>
      </w:r>
    </w:p>
    <w:p w:rsidR="00000000" w:rsidDel="00000000" w:rsidP="00000000" w:rsidRDefault="00000000" w:rsidRPr="00000000" w14:paraId="000001AE">
      <w:pPr>
        <w:widowControl w:val="0"/>
        <w:spacing w:before="225" w:line="240" w:lineRule="auto"/>
        <w:ind w:left="25" w:firstLine="0"/>
        <w:rPr>
          <w:rFonts w:ascii="Calibri" w:cs="Calibri" w:eastAsia="Calibri" w:hAnsi="Calibri"/>
          <w:b w:val="1"/>
        </w:rPr>
      </w:pPr>
      <w:r w:rsidDel="00000000" w:rsidR="00000000" w:rsidRPr="00000000">
        <w:rPr>
          <w:rFonts w:ascii="Calibri" w:cs="Calibri" w:eastAsia="Calibri" w:hAnsi="Calibri"/>
          <w:b w:val="1"/>
          <w:rtl w:val="0"/>
        </w:rPr>
        <w:t xml:space="preserve">SECTION 61-6-2820. Importation by registered producers.  </w:t>
      </w:r>
    </w:p>
    <w:p w:rsidR="00000000" w:rsidDel="00000000" w:rsidP="00000000" w:rsidRDefault="00000000" w:rsidRPr="00000000" w14:paraId="000001AF">
      <w:pPr>
        <w:widowControl w:val="0"/>
        <w:spacing w:line="228" w:lineRule="auto"/>
        <w:ind w:left="22" w:hanging="9"/>
        <w:jc w:val="both"/>
        <w:rPr>
          <w:rFonts w:ascii="Calibri" w:cs="Calibri" w:eastAsia="Calibri" w:hAnsi="Calibri"/>
        </w:rPr>
      </w:pPr>
      <w:r w:rsidDel="00000000" w:rsidR="00000000" w:rsidRPr="00000000">
        <w:rPr>
          <w:rFonts w:ascii="Calibri" w:cs="Calibri" w:eastAsia="Calibri" w:hAnsi="Calibri"/>
          <w:rtl w:val="0"/>
        </w:rPr>
        <w:t xml:space="preserve">No person other than a registered producer may ship, move, or cause to be shipped or moved alcoholic liquors from a point outside the State to a point inside the State, and then only in accordance with the provisions of this article.  </w:t>
      </w:r>
    </w:p>
    <w:p w:rsidR="00000000" w:rsidDel="00000000" w:rsidP="00000000" w:rsidRDefault="00000000" w:rsidRPr="00000000" w14:paraId="000001B0">
      <w:pPr>
        <w:widowControl w:val="0"/>
        <w:spacing w:before="235" w:line="240" w:lineRule="auto"/>
        <w:ind w:left="25" w:firstLine="0"/>
        <w:rPr>
          <w:rFonts w:ascii="Calibri" w:cs="Calibri" w:eastAsia="Calibri" w:hAnsi="Calibri"/>
          <w:b w:val="1"/>
        </w:rPr>
      </w:pPr>
      <w:r w:rsidDel="00000000" w:rsidR="00000000" w:rsidRPr="00000000">
        <w:rPr>
          <w:rFonts w:ascii="Calibri" w:cs="Calibri" w:eastAsia="Calibri" w:hAnsi="Calibri"/>
          <w:b w:val="1"/>
          <w:rtl w:val="0"/>
        </w:rPr>
        <w:t xml:space="preserve">SECTION 61-6-2900. Shipment or transfer of imported liquors. </w:t>
      </w:r>
    </w:p>
    <w:p w:rsidR="00000000" w:rsidDel="00000000" w:rsidP="00000000" w:rsidRDefault="00000000" w:rsidRPr="00000000" w14:paraId="000001B1">
      <w:pPr>
        <w:widowControl w:val="0"/>
        <w:spacing w:line="227" w:lineRule="auto"/>
        <w:ind w:left="16" w:right="2" w:firstLine="0"/>
        <w:jc w:val="both"/>
        <w:rPr>
          <w:rFonts w:ascii="Calibri" w:cs="Calibri" w:eastAsia="Calibri" w:hAnsi="Calibri"/>
        </w:rPr>
      </w:pPr>
      <w:r w:rsidDel="00000000" w:rsidR="00000000" w:rsidRPr="00000000">
        <w:rPr>
          <w:rFonts w:ascii="Calibri" w:cs="Calibri" w:eastAsia="Calibri" w:hAnsi="Calibri"/>
          <w:rtl w:val="0"/>
        </w:rPr>
        <w:t xml:space="preserve">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61-6-710,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61-1-710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w:t>
      </w:r>
    </w:p>
    <w:p w:rsidR="00000000" w:rsidDel="00000000" w:rsidP="00000000" w:rsidRDefault="00000000" w:rsidRPr="00000000" w14:paraId="000001B2">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B3">
      <w:pPr>
        <w:widowControl w:val="0"/>
        <w:spacing w:before="78" w:line="240" w:lineRule="auto"/>
        <w:ind w:left="19" w:firstLine="0"/>
        <w:rPr>
          <w:rFonts w:ascii="Calibri" w:cs="Calibri" w:eastAsia="Calibri" w:hAnsi="Calibri"/>
          <w:color w:val="1155cc"/>
        </w:rPr>
      </w:pPr>
      <w:r w:rsidDel="00000000" w:rsidR="00000000" w:rsidRPr="00000000">
        <w:rPr>
          <w:rFonts w:ascii="Calibri" w:cs="Calibri" w:eastAsia="Calibri" w:hAnsi="Calibri"/>
          <w:b w:val="1"/>
          <w:rtl w:val="0"/>
        </w:rPr>
        <w:t xml:space="preserve">Link to statutes</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https://www.scstatehouse.gov/code/t61c006.php</w:t>
        </w:r>
      </w:hyperlink>
      <w:r w:rsidDel="00000000" w:rsidR="00000000" w:rsidRPr="00000000">
        <w:rPr>
          <w:rtl w:val="0"/>
        </w:rPr>
      </w:r>
    </w:p>
    <w:p w:rsidR="00000000" w:rsidDel="00000000" w:rsidP="00000000" w:rsidRDefault="00000000" w:rsidRPr="00000000" w14:paraId="000001B4">
      <w:pPr>
        <w:widowControl w:val="0"/>
        <w:spacing w:before="78" w:line="240" w:lineRule="auto"/>
        <w:ind w:left="19" w:firstLine="0"/>
        <w:rPr>
          <w:rFonts w:ascii="Calibri" w:cs="Calibri" w:eastAsia="Calibri" w:hAnsi="Calibri"/>
        </w:rPr>
      </w:pPr>
      <w:r w:rsidDel="00000000" w:rsidR="00000000" w:rsidRPr="00000000">
        <w:rPr>
          <w:rtl w:val="0"/>
        </w:rPr>
      </w:r>
    </w:p>
    <w:p w:rsidR="00000000" w:rsidDel="00000000" w:rsidP="00000000" w:rsidRDefault="00000000" w:rsidRPr="00000000" w14:paraId="000001B5">
      <w:pPr>
        <w:widowControl w:val="0"/>
        <w:spacing w:before="78" w:line="240" w:lineRule="auto"/>
        <w:ind w:left="19" w:firstLine="0"/>
        <w:rPr>
          <w:rFonts w:ascii="Calibri" w:cs="Calibri" w:eastAsia="Calibri" w:hAnsi="Calibri"/>
          <w:color w:val="000080"/>
          <w:u w:val="single"/>
        </w:rPr>
      </w:pPr>
      <w:r w:rsidDel="00000000" w:rsidR="00000000" w:rsidRPr="00000000">
        <w:rPr>
          <w:rtl w:val="0"/>
        </w:rPr>
      </w:r>
    </w:p>
    <w:p w:rsidR="00000000" w:rsidDel="00000000" w:rsidP="00000000" w:rsidRDefault="00000000" w:rsidRPr="00000000" w14:paraId="000001B6">
      <w:pPr>
        <w:widowControl w:val="0"/>
        <w:spacing w:before="230" w:line="228" w:lineRule="auto"/>
        <w:ind w:left="19" w:right="4" w:firstLine="2.0000000000000018"/>
        <w:rPr>
          <w:rFonts w:ascii="Times New Roman" w:cs="Times New Roman" w:eastAsia="Times New Roman" w:hAnsi="Times New Roman"/>
          <w:b w:val="1"/>
          <w:color w:val="484848"/>
          <w:highlight w:val="white"/>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7">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9">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86F5E"/>
    <w:pPr>
      <w:tabs>
        <w:tab w:val="center" w:pos="4680"/>
        <w:tab w:val="right" w:pos="9360"/>
      </w:tabs>
      <w:spacing w:line="240" w:lineRule="auto"/>
    </w:pPr>
  </w:style>
  <w:style w:type="character" w:styleId="HeaderChar" w:customStyle="1">
    <w:name w:val="Header Char"/>
    <w:basedOn w:val="DefaultParagraphFont"/>
    <w:link w:val="Header"/>
    <w:uiPriority w:val="99"/>
    <w:rsid w:val="00086F5E"/>
  </w:style>
  <w:style w:type="paragraph" w:styleId="Footer">
    <w:name w:val="footer"/>
    <w:basedOn w:val="Normal"/>
    <w:link w:val="FooterChar"/>
    <w:uiPriority w:val="99"/>
    <w:unhideWhenUsed w:val="1"/>
    <w:rsid w:val="00086F5E"/>
    <w:pPr>
      <w:tabs>
        <w:tab w:val="center" w:pos="4680"/>
        <w:tab w:val="right" w:pos="9360"/>
      </w:tabs>
      <w:spacing w:line="240" w:lineRule="auto"/>
    </w:pPr>
  </w:style>
  <w:style w:type="character" w:styleId="FooterChar" w:customStyle="1">
    <w:name w:val="Footer Char"/>
    <w:basedOn w:val="DefaultParagraphFont"/>
    <w:link w:val="Footer"/>
    <w:uiPriority w:val="99"/>
    <w:rsid w:val="00086F5E"/>
  </w:style>
  <w:style w:type="character" w:styleId="Hyperlink">
    <w:name w:val="Hyperlink"/>
    <w:basedOn w:val="DefaultParagraphFont"/>
    <w:uiPriority w:val="99"/>
    <w:unhideWhenUsed w:val="1"/>
    <w:rsid w:val="00086F5E"/>
    <w:rPr>
      <w:color w:val="0000ff" w:themeColor="hyperlink"/>
      <w:u w:val="single"/>
    </w:rPr>
  </w:style>
  <w:style w:type="character" w:styleId="UnresolvedMention">
    <w:name w:val="Unresolved Mention"/>
    <w:basedOn w:val="DefaultParagraphFont"/>
    <w:uiPriority w:val="99"/>
    <w:semiHidden w:val="1"/>
    <w:unhideWhenUsed w:val="1"/>
    <w:rsid w:val="00086F5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dor.sc.gov/tax/abl" TargetMode="External"/><Relationship Id="rId10" Type="http://schemas.openxmlformats.org/officeDocument/2006/relationships/footer" Target="footer1.xml"/><Relationship Id="rId12" Type="http://schemas.openxmlformats.org/officeDocument/2006/relationships/hyperlink" Target="https://www.scstatehouse.gov/code/t61c006.php" TargetMode="Externa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IycVDr9h5tOEsLegZdwv7q8Onw==">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2021-08-09T02:21:00Z</dcterms:created>
</cp:coreProperties>
</file>